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6D" w:rsidRPr="00423688" w:rsidRDefault="007710A5" w:rsidP="00423688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color w:val="00642D"/>
          <w:sz w:val="32"/>
          <w:szCs w:val="32"/>
          <w:shd w:val="clear" w:color="auto" w:fill="FFFFFF"/>
        </w:rPr>
      </w:pPr>
      <w:r w:rsidRPr="00423688">
        <w:rPr>
          <w:rFonts w:ascii="Times New Roman" w:hAnsi="Times New Roman" w:cs="Times New Roman"/>
          <w:b/>
          <w:color w:val="00642D"/>
          <w:sz w:val="32"/>
          <w:szCs w:val="32"/>
        </w:rPr>
        <w:t>НАЦИОНАЛЬНЫЙ</w:t>
      </w:r>
      <w:r w:rsid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 </w:t>
      </w:r>
      <w:r w:rsidRPr="00423688">
        <w:rPr>
          <w:rFonts w:ascii="Times New Roman" w:hAnsi="Times New Roman" w:cs="Times New Roman"/>
          <w:b/>
          <w:color w:val="00642D"/>
          <w:sz w:val="32"/>
          <w:szCs w:val="32"/>
        </w:rPr>
        <w:t>КАЛЕНДАРЬ</w:t>
      </w:r>
      <w:r w:rsid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</w:t>
      </w:r>
      <w:r w:rsidRP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ПРОФИЛАКТИЧЕСКИХ ПРИВИВОК</w:t>
      </w:r>
      <w:r w:rsidR="00423688" w:rsidRP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</w:t>
      </w:r>
      <w:r w:rsidRP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</w:t>
      </w:r>
      <w:r w:rsidR="00423688">
        <w:rPr>
          <w:rFonts w:ascii="Times New Roman" w:hAnsi="Times New Roman" w:cs="Times New Roman"/>
          <w:b/>
          <w:color w:val="00642D"/>
          <w:sz w:val="32"/>
          <w:szCs w:val="32"/>
        </w:rPr>
        <w:t xml:space="preserve"> </w:t>
      </w:r>
      <w:r w:rsidRPr="00423688">
        <w:rPr>
          <w:rFonts w:ascii="Times New Roman" w:hAnsi="Times New Roman" w:cs="Times New Roman"/>
          <w:b/>
          <w:color w:val="00642D"/>
          <w:sz w:val="32"/>
          <w:szCs w:val="32"/>
          <w:shd w:val="clear" w:color="auto" w:fill="FFFFFF"/>
        </w:rPr>
        <w:t xml:space="preserve">РЕСПУБЛИКИ </w:t>
      </w:r>
      <w:r w:rsidR="00423688">
        <w:rPr>
          <w:rFonts w:ascii="Times New Roman" w:hAnsi="Times New Roman" w:cs="Times New Roman"/>
          <w:b/>
          <w:color w:val="00642D"/>
          <w:sz w:val="32"/>
          <w:szCs w:val="32"/>
          <w:shd w:val="clear" w:color="auto" w:fill="FFFFFF"/>
        </w:rPr>
        <w:t xml:space="preserve">  </w:t>
      </w:r>
      <w:r w:rsidRPr="00423688">
        <w:rPr>
          <w:rFonts w:ascii="Times New Roman" w:hAnsi="Times New Roman" w:cs="Times New Roman"/>
          <w:b/>
          <w:color w:val="00642D"/>
          <w:sz w:val="32"/>
          <w:szCs w:val="32"/>
          <w:shd w:val="clear" w:color="auto" w:fill="FFFFFF"/>
        </w:rPr>
        <w:t>БЕЛАРУСЬ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5776"/>
      </w:tblGrid>
      <w:tr w:rsidR="001918C9" w:rsidRPr="001918C9" w:rsidTr="00E8428E">
        <w:trPr>
          <w:trHeight w:val="753"/>
        </w:trPr>
        <w:tc>
          <w:tcPr>
            <w:tcW w:w="0" w:type="auto"/>
            <w:tcBorders>
              <w:top w:val="single" w:sz="12" w:space="0" w:color="78C302"/>
              <w:left w:val="single" w:sz="12" w:space="0" w:color="78C302"/>
              <w:bottom w:val="single" w:sz="12" w:space="0" w:color="78C302"/>
              <w:right w:val="single" w:sz="12" w:space="0" w:color="78C302"/>
            </w:tcBorders>
            <w:shd w:val="clear" w:color="auto" w:fill="78C30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18C9" w:rsidRPr="001918C9" w:rsidRDefault="001918C9" w:rsidP="001918C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2E9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b/>
                <w:bCs/>
                <w:color w:val="F7F2E9"/>
                <w:sz w:val="24"/>
                <w:szCs w:val="24"/>
                <w:lang w:eastAsia="ru-RU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0" w:type="auto"/>
            <w:tcBorders>
              <w:top w:val="single" w:sz="12" w:space="0" w:color="78C302"/>
              <w:left w:val="single" w:sz="12" w:space="0" w:color="78C302"/>
              <w:bottom w:val="single" w:sz="12" w:space="0" w:color="78C302"/>
              <w:right w:val="single" w:sz="12" w:space="0" w:color="78C302"/>
            </w:tcBorders>
            <w:shd w:val="clear" w:color="auto" w:fill="78C30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18C9" w:rsidRPr="001918C9" w:rsidRDefault="001918C9" w:rsidP="001918C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2E9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b/>
                <w:bCs/>
                <w:color w:val="F7F2E9"/>
                <w:sz w:val="24"/>
                <w:szCs w:val="24"/>
                <w:lang w:eastAsia="ru-RU"/>
              </w:rPr>
              <w:t>Группы физических лиц и сроки проведения профилактических прививок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B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часов жизни, дети в возрасте 2, 3, 4 месяцев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на 3 - 5-й день жизни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2, 4 и 12 месяцев *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Дифтерия, столбняк, коклюш, гемофильная инфекция</w:t>
            </w:r>
            <w:r w:rsidR="007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2, 3, 4 месяцев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Дифтерия, столбняк, коклюш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18 месяцев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2, 3, 4 месяцев и 7 лет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Корь, эпидемический паротит, краснуха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12 месяцев и 6 лет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11 лет</w:t>
            </w:r>
          </w:p>
        </w:tc>
      </w:tr>
      <w:tr w:rsidR="001918C9" w:rsidRPr="001918C9" w:rsidTr="00610736"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9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single" w:sz="6" w:space="0" w:color="78C302"/>
              <w:left w:val="single" w:sz="6" w:space="0" w:color="78C302"/>
              <w:bottom w:val="single" w:sz="6" w:space="0" w:color="78C302"/>
              <w:right w:val="single" w:sz="6" w:space="0" w:color="78C30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8C9" w:rsidRPr="001918C9" w:rsidRDefault="001918C9" w:rsidP="0011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с 6 месяцев и взрослые</w:t>
            </w:r>
            <w:r w:rsidR="00F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918C9" w:rsidRPr="00E8428E" w:rsidRDefault="001918C9" w:rsidP="00E84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42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E84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71E0" w:rsidRPr="00E8428E">
        <w:rPr>
          <w:rFonts w:ascii="Times New Roman" w:hAnsi="Times New Roman" w:cs="Times New Roman"/>
          <w:sz w:val="20"/>
          <w:szCs w:val="20"/>
        </w:rPr>
        <w:t xml:space="preserve"> Дети в возрасте 2, 4 и 12 месяцев, имеющие одно из следующих заболеваний или состояний: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иммунодефицитные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 состояния (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ВИЧинфекция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, хроническая почечная недостаточность, нефротический синдром, хронический гепатит, цирроз печени, заболевания, связанные с назначением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иммуносупрессивной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 терапии или лучевой терапии, злокачественные новообразования, лейкозы,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лимфомы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, болезнь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Ходжкина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, после трансплантации донорского органа, врожденный иммунодефицит, функциональная или анатомическая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аспления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серповидноклеточная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 анемия, другие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гемоглобинопатии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, врожденная или приобретенная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аспления</w:t>
      </w:r>
      <w:proofErr w:type="spellEnd"/>
      <w:proofErr w:type="gramEnd"/>
      <w:r w:rsidR="006C71E0" w:rsidRPr="00E8428E">
        <w:rPr>
          <w:rFonts w:ascii="Times New Roman" w:hAnsi="Times New Roman" w:cs="Times New Roman"/>
          <w:sz w:val="20"/>
          <w:szCs w:val="20"/>
        </w:rPr>
        <w:t>); рецидивирующий острый гнойный средний отит (более 3 эпизодов в течение года); рецидивирующие пневмонии; бронхолегочная дисплазия, врожденные пороки дыхательных путей, первичная цилиарная дискинезия, дефицит а</w:t>
      </w:r>
      <w:proofErr w:type="gramStart"/>
      <w:r w:rsidR="006C71E0" w:rsidRPr="00E8428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антитрипсина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; пороки сердца, требующие гемодинамической коррекции и с обогащением малого круга кровообращения; наличие </w:t>
      </w:r>
      <w:proofErr w:type="spellStart"/>
      <w:r w:rsidR="006C71E0" w:rsidRPr="00E8428E">
        <w:rPr>
          <w:rFonts w:ascii="Times New Roman" w:hAnsi="Times New Roman" w:cs="Times New Roman"/>
          <w:sz w:val="20"/>
          <w:szCs w:val="20"/>
        </w:rPr>
        <w:t>кохлеарного</w:t>
      </w:r>
      <w:proofErr w:type="spellEnd"/>
      <w:r w:rsidR="006C71E0" w:rsidRPr="00E8428E">
        <w:rPr>
          <w:rFonts w:ascii="Times New Roman" w:hAnsi="Times New Roman" w:cs="Times New Roman"/>
          <w:sz w:val="20"/>
          <w:szCs w:val="20"/>
        </w:rPr>
        <w:t xml:space="preserve"> имплантата или планирование проведения данной операции; сахарный диабет; бронхиальная астма Дети других возрастов до достижения ими возраста 5 лет в соответствии с инструкцией по медицинскому применению, прилагаемой к иммунобиологическому лекарственному средству, и имеющие одно из заболеваний или состояний, указанных в настоящем пункт</w:t>
      </w:r>
    </w:p>
    <w:p w:rsidR="006C71E0" w:rsidRDefault="006C71E0" w:rsidP="00E84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2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**</w:t>
      </w:r>
      <w:r w:rsidRPr="00E842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428E">
        <w:rPr>
          <w:rFonts w:ascii="Times New Roman" w:hAnsi="Times New Roman" w:cs="Times New Roman"/>
          <w:sz w:val="20"/>
          <w:szCs w:val="20"/>
        </w:rPr>
        <w:t xml:space="preserve">Дети, ранее не получившие профилактические прививки против гемофильной инфекции, до достижения ими возраста 5 лет в соответствии с инструкцией по медицинскому применению, прилагаемой к иммунобиологическому лекарственному средству, и имеющие одно из следующих заболеваний или состояний: хронический гепатит; цирроз печени; хронические заболевания почек, сердца и легких; </w:t>
      </w:r>
      <w:proofErr w:type="spellStart"/>
      <w:r w:rsidRPr="00E8428E">
        <w:rPr>
          <w:rFonts w:ascii="Times New Roman" w:hAnsi="Times New Roman" w:cs="Times New Roman"/>
          <w:sz w:val="20"/>
          <w:szCs w:val="20"/>
        </w:rPr>
        <w:t>иммунодефицитные</w:t>
      </w:r>
      <w:proofErr w:type="spellEnd"/>
      <w:r w:rsidRPr="00E8428E">
        <w:rPr>
          <w:rFonts w:ascii="Times New Roman" w:hAnsi="Times New Roman" w:cs="Times New Roman"/>
          <w:sz w:val="20"/>
          <w:szCs w:val="20"/>
        </w:rPr>
        <w:t xml:space="preserve"> состояния; </w:t>
      </w:r>
      <w:proofErr w:type="spellStart"/>
      <w:r w:rsidRPr="00E8428E">
        <w:rPr>
          <w:rFonts w:ascii="Times New Roman" w:hAnsi="Times New Roman" w:cs="Times New Roman"/>
          <w:sz w:val="20"/>
          <w:szCs w:val="20"/>
        </w:rPr>
        <w:t>муковисцидоз</w:t>
      </w:r>
      <w:proofErr w:type="spellEnd"/>
      <w:r w:rsidR="00E8428E">
        <w:rPr>
          <w:rFonts w:ascii="Times New Roman" w:hAnsi="Times New Roman" w:cs="Times New Roman"/>
          <w:sz w:val="20"/>
          <w:szCs w:val="20"/>
        </w:rPr>
        <w:t>.</w:t>
      </w:r>
    </w:p>
    <w:p w:rsidR="00E8428E" w:rsidRPr="00E8428E" w:rsidRDefault="00E8428E" w:rsidP="00E84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8E" w:rsidRDefault="00F12119" w:rsidP="00E8428E">
      <w:pPr>
        <w:shd w:val="clear" w:color="auto" w:fill="FFFFFF"/>
        <w:spacing w:after="285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42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Вакцинация – превентивный способ защиты от болезней. С помощью прививки в организме формируются естественные защитные механизмы, которые позволяют противостоять ряду инфекционных заболеваний и </w:t>
      </w:r>
      <w:bookmarkStart w:id="0" w:name="_GoBack"/>
      <w:bookmarkEnd w:id="0"/>
      <w:r w:rsidRPr="00E842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сделать иммунную систему сильнее.</w:t>
      </w:r>
    </w:p>
    <w:p w:rsidR="006D07AC" w:rsidRPr="006D07AC" w:rsidRDefault="001C556C" w:rsidP="00E8428E">
      <w:pPr>
        <w:shd w:val="clear" w:color="auto" w:fill="FFFFFF"/>
        <w:spacing w:after="285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428E">
        <w:rPr>
          <w:rFonts w:ascii="Times New Roman" w:eastAsia="Times New Roman" w:hAnsi="Times New Roman" w:cs="Times New Roman"/>
          <w:lang w:eastAsia="ru-RU"/>
        </w:rPr>
        <w:t>УЗ «Шкловский рай ЦГЭ», апрель 2024г.</w:t>
      </w:r>
    </w:p>
    <w:sectPr w:rsidR="006D07AC" w:rsidRPr="006D07AC" w:rsidSect="00E8428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6A9"/>
    <w:multiLevelType w:val="multilevel"/>
    <w:tmpl w:val="EE3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5D58"/>
    <w:multiLevelType w:val="multilevel"/>
    <w:tmpl w:val="9014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6D"/>
    <w:rsid w:val="000567C6"/>
    <w:rsid w:val="000A0550"/>
    <w:rsid w:val="000E42B4"/>
    <w:rsid w:val="0011180F"/>
    <w:rsid w:val="00125011"/>
    <w:rsid w:val="001918C9"/>
    <w:rsid w:val="001C556C"/>
    <w:rsid w:val="001C6A5D"/>
    <w:rsid w:val="001E34AF"/>
    <w:rsid w:val="00292EFD"/>
    <w:rsid w:val="00332A64"/>
    <w:rsid w:val="00403C6D"/>
    <w:rsid w:val="00413935"/>
    <w:rsid w:val="00423688"/>
    <w:rsid w:val="00610736"/>
    <w:rsid w:val="006B4205"/>
    <w:rsid w:val="006C71E0"/>
    <w:rsid w:val="006D07AC"/>
    <w:rsid w:val="007710A5"/>
    <w:rsid w:val="007840BC"/>
    <w:rsid w:val="007F1E5C"/>
    <w:rsid w:val="007F50F1"/>
    <w:rsid w:val="00AC3F12"/>
    <w:rsid w:val="00B2335E"/>
    <w:rsid w:val="00E8428E"/>
    <w:rsid w:val="00ED5683"/>
    <w:rsid w:val="00F12119"/>
    <w:rsid w:val="00F53AFC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d-block-unstyled">
    <w:name w:val="md-block-unstyled"/>
    <w:basedOn w:val="a"/>
    <w:rsid w:val="004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683"/>
    <w:rPr>
      <w:b/>
      <w:bCs/>
    </w:rPr>
  </w:style>
  <w:style w:type="paragraph" w:customStyle="1" w:styleId="1">
    <w:name w:val="Без интервала1"/>
    <w:uiPriority w:val="99"/>
    <w:rsid w:val="006B420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d-block-unstyled">
    <w:name w:val="md-block-unstyled"/>
    <w:basedOn w:val="a"/>
    <w:rsid w:val="004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683"/>
    <w:rPr>
      <w:b/>
      <w:bCs/>
    </w:rPr>
  </w:style>
  <w:style w:type="paragraph" w:customStyle="1" w:styleId="1">
    <w:name w:val="Без интервала1"/>
    <w:uiPriority w:val="99"/>
    <w:rsid w:val="006B42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31</cp:revision>
  <dcterms:created xsi:type="dcterms:W3CDTF">2024-03-11T12:20:00Z</dcterms:created>
  <dcterms:modified xsi:type="dcterms:W3CDTF">2024-04-19T12:21:00Z</dcterms:modified>
</cp:coreProperties>
</file>